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use case risk assessment: Worked example: AI-assisted AML transaction monitoring</w:t>
      </w:r>
    </w:p>
    <w:p>
      <w:r>
        <w:t>Client: Worked examples   Assessment ARA-261031-04C8B0 version 1   2026-10-31 06:37:15 UTC</w:t>
      </w:r>
    </w:p>
    <w:p>
      <w:pPr>
        <w:pStyle w:val="Heading1"/>
      </w:pPr>
      <w:r>
        <w:t>1. Decision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Recommendation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Inherent 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Residual 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Items reviewed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Sign-off</w:t>
            </w:r>
          </w:p>
        </w:tc>
      </w:tr>
      <w:tr>
        <w:tc>
          <w:tcPr>
            <w:tcW w:type="dxa" w:w="1728"/>
          </w:tcPr>
          <w:p>
            <w:r>
              <w:t>REQUIRES_REMEDIATION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  <w:tc>
          <w:tcPr>
            <w:tcW w:type="dxa" w:w="1728"/>
          </w:tcPr>
          <w:p>
            <w:r>
              <w:t>0 of 13 (0 changed, 0 rejected)</w:t>
            </w:r>
          </w:p>
        </w:tc>
        <w:tc>
          <w:tcPr>
            <w:tcW w:type="dxa" w:w="1728"/>
          </w:tcPr>
          <w:p>
            <w:r>
              <w:t>Not signed off: draft for review</w:t>
            </w:r>
          </w:p>
        </w:tc>
      </w:tr>
    </w:tbl>
    <w:p>
      <w:r>
        <w:t>The idea has merit as a prioritisation and drafting aid, but replacing the rules engine without proven parity is not acceptable.</w:t>
      </w:r>
    </w:p>
    <w:p>
      <w:r>
        <w:rPr>
          <w:b/>
        </w:rPr>
        <w:t>Conditions:</w:t>
      </w:r>
    </w:p>
    <w:p>
      <w:pPr>
        <w:pStyle w:val="ListBullet"/>
      </w:pPr>
      <w:r>
        <w:t>Do not retire the rules engine until detection parity is demonstrated</w:t>
      </w:r>
    </w:p>
    <w:p>
      <w:pPr>
        <w:pStyle w:val="ListBullet"/>
      </w:pPr>
      <w:r>
        <w:t>Evidence-linked drafts and second-line sampling</w:t>
      </w:r>
    </w:p>
    <w:p>
      <w:pPr>
        <w:pStyle w:val="Heading1"/>
      </w:pPr>
      <w:r>
        <w:t>2. Use case</w:t>
      </w:r>
    </w:p>
    <w:p>
      <w:r>
        <w:t>A Tier-2 Australian bank wants an LLM agent to replace rules-based transaction monitoring, score alerts and draft SMRs, lodged after analyst approval; the model is hosted in the US.</w:t>
      </w:r>
    </w:p>
    <w:p>
      <w:pPr>
        <w:pStyle w:val="Heading1"/>
      </w:pPr>
      <w:r>
        <w:t>3. Top risks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ID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Inherent</w:t>
            </w:r>
          </w:p>
        </w:tc>
      </w:tr>
      <w:tr>
        <w:tc>
          <w:tcPr>
            <w:tcW w:type="dxa" w:w="1728"/>
          </w:tcPr>
          <w:p>
            <w:r>
              <w:t>R-01</w:t>
            </w:r>
          </w:p>
        </w:tc>
        <w:tc>
          <w:tcPr>
            <w:tcW w:type="dxa" w:w="1728"/>
          </w:tcPr>
          <w:p>
            <w:r>
              <w:t>Suspicious matters missed after replacing rules</w:t>
            </w:r>
          </w:p>
        </w:tc>
        <w:tc>
          <w:tcPr>
            <w:tcW w:type="dxa" w:w="1728"/>
          </w:tcPr>
          <w:p>
            <w:r>
              <w:t>Possible</w:t>
            </w:r>
          </w:p>
        </w:tc>
        <w:tc>
          <w:tcPr>
            <w:tcW w:type="dxa" w:w="1728"/>
          </w:tcPr>
          <w:p>
            <w:r>
              <w:t>Severe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</w:tr>
      <w:tr>
        <w:tc>
          <w:tcPr>
            <w:tcW w:type="dxa" w:w="1728"/>
          </w:tcPr>
          <w:p>
            <w:r>
              <w:t>R-02</w:t>
            </w:r>
          </w:p>
        </w:tc>
        <w:tc>
          <w:tcPr>
            <w:tcW w:type="dxa" w:w="1728"/>
          </w:tcPr>
          <w:p>
            <w:r>
              <w:t>Analysts approve drafts without real review</w:t>
            </w:r>
          </w:p>
        </w:tc>
        <w:tc>
          <w:tcPr>
            <w:tcW w:type="dxa" w:w="1728"/>
          </w:tcPr>
          <w:p>
            <w:r>
              <w:t>Likely</w:t>
            </w:r>
          </w:p>
        </w:tc>
        <w:tc>
          <w:tcPr>
            <w:tcW w:type="dxa" w:w="1728"/>
          </w:tcPr>
          <w:p>
            <w:r>
              <w:t>Major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  <w:tr>
        <w:tc>
          <w:tcPr>
            <w:tcW w:type="dxa" w:w="1728"/>
          </w:tcPr>
          <w:p>
            <w:r>
              <w:t>R-03</w:t>
            </w:r>
          </w:p>
        </w:tc>
        <w:tc>
          <w:tcPr>
            <w:tcW w:type="dxa" w:w="1728"/>
          </w:tcPr>
          <w:p>
            <w:r>
              <w:t>Customer data processed offshore</w:t>
            </w:r>
          </w:p>
        </w:tc>
        <w:tc>
          <w:tcPr>
            <w:tcW w:type="dxa" w:w="1728"/>
          </w:tcPr>
          <w:p>
            <w:r>
              <w:t>Likely</w:t>
            </w:r>
          </w:p>
        </w:tc>
        <w:tc>
          <w:tcPr>
            <w:tcW w:type="dxa" w:w="1728"/>
          </w:tcPr>
          <w:p>
            <w:r>
              <w:t>Moderate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  <w:tr>
        <w:tc>
          <w:tcPr>
            <w:tcW w:type="dxa" w:w="1728"/>
          </w:tcPr>
          <w:p>
            <w:r>
              <w:t>R-04</w:t>
            </w:r>
          </w:p>
        </w:tc>
        <w:tc>
          <w:tcPr>
            <w:tcW w:type="dxa" w:w="1728"/>
          </w:tcPr>
          <w:p>
            <w:r>
              <w:t>Hallucinated facts in SMR narratives</w:t>
            </w:r>
          </w:p>
        </w:tc>
        <w:tc>
          <w:tcPr>
            <w:tcW w:type="dxa" w:w="1728"/>
          </w:tcPr>
          <w:p>
            <w:r>
              <w:t>Possible</w:t>
            </w:r>
          </w:p>
        </w:tc>
        <w:tc>
          <w:tcPr>
            <w:tcW w:type="dxa" w:w="1728"/>
          </w:tcPr>
          <w:p>
            <w:r>
              <w:t>Major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</w:tbl>
    <w:p>
      <w:pPr>
        <w:pStyle w:val="Heading1"/>
      </w:pPr>
      <w:r>
        <w:t>4. Security threats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ID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Threat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Rating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Reference</w:t>
            </w:r>
          </w:p>
        </w:tc>
      </w:tr>
      <w:tr>
        <w:tc>
          <w:tcPr>
            <w:tcW w:type="dxa" w:w="2160"/>
          </w:tcPr>
          <w:p>
            <w:r>
              <w:t>T-01</w:t>
            </w:r>
          </w:p>
        </w:tc>
        <w:tc>
          <w:tcPr>
            <w:tcW w:type="dxa" w:w="2160"/>
          </w:tcPr>
          <w:p>
            <w:r>
              <w:t>Prompt injection through payment memos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OWASP LLM01:2025</w:t>
            </w:r>
          </w:p>
        </w:tc>
      </w:tr>
      <w:tr>
        <w:tc>
          <w:tcPr>
            <w:tcW w:type="dxa" w:w="2160"/>
          </w:tcPr>
          <w:p>
            <w:r>
              <w:t>T-02</w:t>
            </w:r>
          </w:p>
        </w:tc>
        <w:tc>
          <w:tcPr>
            <w:tcW w:type="dxa" w:w="2160"/>
          </w:tcPr>
          <w:p>
            <w:r>
              <w:t>Exposure of SMR content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5. Regulatory obligations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Regulation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Jurisdiction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Applicability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Why relevant</w:t>
            </w:r>
          </w:p>
        </w:tc>
      </w:tr>
      <w:tr>
        <w:tc>
          <w:tcPr>
            <w:tcW w:type="dxa" w:w="2160"/>
          </w:tcPr>
          <w:p>
            <w:r>
              <w:t>Anti-Money Laundering and Counter-Terrorism Financing Act 2006 (suspicious matter reporting)</w:t>
            </w:r>
          </w:p>
        </w:tc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applicable</w:t>
            </w:r>
          </w:p>
        </w:tc>
        <w:tc>
          <w:tcPr>
            <w:tcW w:type="dxa" w:w="2160"/>
          </w:tcPr>
          <w:p>
            <w:r>
              <w:t>The agent supports SMR decisions and drafting.</w:t>
            </w:r>
          </w:p>
        </w:tc>
      </w:tr>
      <w:tr>
        <w:tc>
          <w:tcPr>
            <w:tcW w:type="dxa" w:w="2160"/>
          </w:tcPr>
          <w:p>
            <w:r>
              <w:t>Privacy Act 1988 (APP 8 cross-border disclosure)</w:t>
            </w:r>
          </w:p>
        </w:tc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applicable</w:t>
            </w:r>
          </w:p>
        </w:tc>
        <w:tc>
          <w:tcPr>
            <w:tcW w:type="dxa" w:w="2160"/>
          </w:tcPr>
          <w:p>
            <w:r>
              <w:t>Personal information is sent to a US-hosted model.</w:t>
            </w:r>
          </w:p>
        </w:tc>
      </w:tr>
      <w:tr>
        <w:tc>
          <w:tcPr>
            <w:tcW w:type="dxa" w:w="2160"/>
          </w:tcPr>
          <w:p>
            <w:r>
              <w:t>APRA CPS 230 Operational Risk Management</w:t>
            </w:r>
          </w:p>
        </w:tc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applicable</w:t>
            </w:r>
          </w:p>
        </w:tc>
        <w:tc>
          <w:tcPr>
            <w:tcW w:type="dxa" w:w="2160"/>
          </w:tcPr>
          <w:p>
            <w:r>
              <w:t>Material reliance on a third-party model provider for a compliance-critical process.</w:t>
            </w:r>
          </w:p>
        </w:tc>
      </w:tr>
    </w:tbl>
    <w:p>
      <w:r>
        <w:t>Regulatory statements are drafted by a language model, grounded in retrieved sources where Secure-RAG is connected. Verify against the current legislation before reliance.</w:t>
      </w:r>
    </w:p>
    <w:p>
      <w:pPr>
        <w:pStyle w:val="Heading1"/>
      </w:pPr>
      <w:r>
        <w:t>6. Controls and residual risk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ID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Effectiveness</w:t>
            </w:r>
          </w:p>
        </w:tc>
      </w:tr>
      <w:tr>
        <w:tc>
          <w:tcPr>
            <w:tcW w:type="dxa" w:w="2160"/>
          </w:tcPr>
          <w:p>
            <w:r>
              <w:t>C-01</w:t>
            </w:r>
          </w:p>
        </w:tc>
        <w:tc>
          <w:tcPr>
            <w:tcW w:type="dxa" w:w="2160"/>
          </w:tcPr>
          <w:p>
            <w:r>
              <w:t>Parallel run with the rules engine</w:t>
            </w:r>
          </w:p>
        </w:tc>
        <w:tc>
          <w:tcPr>
            <w:tcW w:type="dxa" w:w="2160"/>
          </w:tcPr>
          <w:p>
            <w:r>
              <w:t>Immediate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</w:tr>
      <w:tr>
        <w:tc>
          <w:tcPr>
            <w:tcW w:type="dxa" w:w="2160"/>
          </w:tcPr>
          <w:p>
            <w:r>
              <w:t>C-02</w:t>
            </w:r>
          </w:p>
        </w:tc>
        <w:tc>
          <w:tcPr>
            <w:tcW w:type="dxa" w:w="2160"/>
          </w:tcPr>
          <w:p>
            <w:r>
              <w:t>Evidence-linked SMR drafts</w:t>
            </w:r>
          </w:p>
        </w:tc>
        <w:tc>
          <w:tcPr>
            <w:tcW w:type="dxa" w:w="2160"/>
          </w:tcPr>
          <w:p>
            <w:r>
              <w:t>Immediate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C-03</w:t>
            </w:r>
          </w:p>
        </w:tc>
        <w:tc>
          <w:tcPr>
            <w:tcW w:type="dxa" w:w="2160"/>
          </w:tcPr>
          <w:p>
            <w:r>
              <w:t>Quality sampling of approvals</w:t>
            </w:r>
          </w:p>
        </w:tc>
        <w:tc>
          <w:tcPr>
            <w:tcW w:type="dxa" w:w="2160"/>
          </w:tcPr>
          <w:p>
            <w:r>
              <w:t>Near-term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C-04</w:t>
            </w:r>
          </w:p>
        </w:tc>
        <w:tc>
          <w:tcPr>
            <w:tcW w:type="dxa" w:w="2160"/>
          </w:tcPr>
          <w:p>
            <w:r>
              <w:t>Data minimisation and onshore option</w:t>
            </w:r>
          </w:p>
        </w:tc>
        <w:tc>
          <w:tcPr>
            <w:tcW w:type="dxa" w:w="2160"/>
          </w:tcPr>
          <w:p>
            <w:r>
              <w:t>Near-term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</w:tbl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Inherent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Residual</w:t>
            </w:r>
          </w:p>
        </w:tc>
      </w:tr>
      <w:tr>
        <w:tc>
          <w:tcPr>
            <w:tcW w:type="dxa" w:w="2160"/>
          </w:tcPr>
          <w:p>
            <w:r>
              <w:t>Suspicious matters missed after replacing rules</w:t>
            </w:r>
          </w:p>
        </w:tc>
        <w:tc>
          <w:tcPr>
            <w:tcW w:type="dxa" w:w="2160"/>
          </w:tcPr>
          <w:p>
            <w:r>
              <w:t>Critical</w:t>
            </w:r>
          </w:p>
        </w:tc>
        <w:tc>
          <w:tcPr>
            <w:tcW w:type="dxa" w:w="2160"/>
          </w:tcPr>
          <w:p>
            <w:r>
              <w:t>C-01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Analysts approve drafts without real review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C-02, C-03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Customer data processed offshore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C-04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Hallucinated facts in SMR narratives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C-02</w:t>
            </w:r>
          </w:p>
        </w:tc>
        <w:tc>
          <w:tcPr>
            <w:tcW w:type="dxa" w:w="2160"/>
          </w:tcPr>
          <w:p>
            <w:r>
              <w:t>Low</w:t>
            </w:r>
          </w:p>
        </w:tc>
      </w:tr>
    </w:tbl>
    <w:p>
      <w:pPr>
        <w:pStyle w:val="Heading1"/>
      </w:pPr>
      <w:r>
        <w:t>7. Remediation plan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ID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Horizon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Priority</w:t>
            </w:r>
          </w:p>
        </w:tc>
      </w:tr>
      <w:tr>
        <w:tc>
          <w:tcPr>
            <w:tcW w:type="dxa" w:w="1728"/>
          </w:tcPr>
          <w:p>
            <w:r>
              <w:t>A-01</w:t>
            </w:r>
          </w:p>
        </w:tc>
        <w:tc>
          <w:tcPr>
            <w:tcW w:type="dxa" w:w="1728"/>
          </w:tcPr>
          <w:p>
            <w:r>
              <w:t>0-30 days</w:t>
            </w:r>
          </w:p>
        </w:tc>
        <w:tc>
          <w:tcPr>
            <w:tcW w:type="dxa" w:w="1728"/>
          </w:tcPr>
          <w:p>
            <w:r>
              <w:t>Redesign as parallel run alongside the rules engine</w:t>
            </w:r>
          </w:p>
        </w:tc>
        <w:tc>
          <w:tcPr>
            <w:tcW w:type="dxa" w:w="1728"/>
          </w:tcPr>
          <w:p>
            <w:r>
              <w:t>AML Compliance Lead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</w:tr>
      <w:tr>
        <w:tc>
          <w:tcPr>
            <w:tcW w:type="dxa" w:w="1728"/>
          </w:tcPr>
          <w:p>
            <w:r>
              <w:t>A-02</w:t>
            </w:r>
          </w:p>
        </w:tc>
        <w:tc>
          <w:tcPr>
            <w:tcW w:type="dxa" w:w="1728"/>
          </w:tcPr>
          <w:p>
            <w:r>
              <w:t>30-90 days</w:t>
            </w:r>
          </w:p>
        </w:tc>
        <w:tc>
          <w:tcPr>
            <w:tcW w:type="dxa" w:w="1728"/>
          </w:tcPr>
          <w:p>
            <w:r>
              <w:t>Build citation checks into SMR drafts</w:t>
            </w:r>
          </w:p>
        </w:tc>
        <w:tc>
          <w:tcPr>
            <w:tcW w:type="dxa" w:w="1728"/>
          </w:tcPr>
          <w:p>
            <w:r>
              <w:t>AI Engineering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  <w:tr>
        <w:tc>
          <w:tcPr>
            <w:tcW w:type="dxa" w:w="1728"/>
          </w:tcPr>
          <w:p>
            <w:r>
              <w:t>A-03</w:t>
            </w:r>
          </w:p>
        </w:tc>
        <w:tc>
          <w:tcPr>
            <w:tcW w:type="dxa" w:w="1728"/>
          </w:tcPr>
          <w:p>
            <w:r>
              <w:t>30-90 days</w:t>
            </w:r>
          </w:p>
        </w:tc>
        <w:tc>
          <w:tcPr>
            <w:tcW w:type="dxa" w:w="1728"/>
          </w:tcPr>
          <w:p>
            <w:r>
              <w:t>Assess cross-border data handling of the US-hosted model</w:t>
            </w:r>
          </w:p>
        </w:tc>
        <w:tc>
          <w:tcPr>
            <w:tcW w:type="dxa" w:w="1728"/>
          </w:tcPr>
          <w:p>
            <w:r>
              <w:t>Privacy Officer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</w:tbl>
    <w:p>
      <w:pPr>
        <w:pStyle w:val="Heading1"/>
      </w:pPr>
      <w:r>
        <w:t>8. Framework mapping (suggested)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ISO/IEC 42001 Annex 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NIST AI RMF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OWASP LLM 2025</w:t>
            </w:r>
          </w:p>
        </w:tc>
      </w:tr>
      <w:tr>
        <w:tc>
          <w:tcPr>
            <w:tcW w:type="dxa" w:w="2160"/>
          </w:tcPr>
          <w:p>
            <w:r>
              <w:t>C-01 Parallel run with the rules engine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C-02 Evidence-linked SMR drafts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C-03 Quality sampling of approvals</w:t>
            </w:r>
          </w:p>
        </w:tc>
        <w:tc>
          <w:tcPr>
            <w:tcW w:type="dxa" w:w="2160"/>
          </w:tcPr>
          <w:p>
            <w:r>
              <w:t>A.9 Use of AI systems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LLM06 Excessive Agency</w:t>
            </w:r>
          </w:p>
        </w:tc>
      </w:tr>
      <w:tr>
        <w:tc>
          <w:tcPr>
            <w:tcW w:type="dxa" w:w="2160"/>
          </w:tcPr>
          <w:p>
            <w:r>
              <w:t>C-04 Data minimisation and onshore option</w:t>
            </w:r>
          </w:p>
        </w:tc>
        <w:tc>
          <w:tcPr>
            <w:tcW w:type="dxa" w:w="2160"/>
          </w:tcPr>
          <w:p>
            <w:r>
              <w:t>A.7 Data for AI systems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t>Suggested by keyword rules at heading level; verify each mapping against the licensed standard before using it in a statement of applicability or audit.</w:t>
      </w:r>
    </w:p>
    <w:p>
      <w:pPr>
        <w:pStyle w:val="Heading1"/>
      </w:pPr>
      <w:r>
        <w:t>9. Audit record</w:t>
      </w:r>
    </w:p>
    <w:p>
      <w:r>
        <w:t>Audit trail: 1 events, chain intact. Chain head SHA-256 at the time of this pack: c1bb63f77f99cbea61602a165e733e1a4ef52c144efc696c66b0227582df5eee. Keep this value: a later change to any earlier event would no longer reproduce it.</w:t>
      </w:r>
    </w:p>
    <w:p>
      <w:pPr>
        <w:pStyle w:val="Heading1"/>
      </w:pPr>
      <w:r>
        <w:t>10. Limitations</w:t>
      </w:r>
    </w:p>
    <w:p>
      <w:r>
        <w:t>Prepared with AI assistance as decision support, not legal or regulatory advice. Ratings, obligations and controls must be reviewed by qualified people. The analysis reflects the scenario as described.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Generated by Agentic Risk Analyst v3.2.1 on 2026-10-31 11:54:22 UTC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