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use case risk assessment: Worked example: Autonomous incident-response agent (SOC)</w:t>
      </w:r>
    </w:p>
    <w:p>
      <w:r>
        <w:t>Client: Worked examples   Assessment ARA-261031-079D53 version 1   2026-10-31 06:37:15 UTC</w:t>
      </w:r>
    </w:p>
    <w:p>
      <w:pPr>
        <w:pStyle w:val="Heading1"/>
      </w:pPr>
      <w:r>
        <w:t>1. Decision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Recommendation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Inherent 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Residual 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Items reviewed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Sign-off</w:t>
            </w:r>
          </w:p>
        </w:tc>
      </w:tr>
      <w:tr>
        <w:tc>
          <w:tcPr>
            <w:tcW w:type="dxa" w:w="1728"/>
          </w:tcPr>
          <w:p>
            <w:r>
              <w:t>ESCALATE_TO_RISK_COMMITTEE</w:t>
            </w:r>
          </w:p>
        </w:tc>
        <w:tc>
          <w:tcPr>
            <w:tcW w:type="dxa" w:w="1728"/>
          </w:tcPr>
          <w:p>
            <w:r>
              <w:t>Critical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  <w:tc>
          <w:tcPr>
            <w:tcW w:type="dxa" w:w="1728"/>
          </w:tcPr>
          <w:p>
            <w:r>
              <w:t>0 of 10 (0 changed, 0 rejected)</w:t>
            </w:r>
          </w:p>
        </w:tc>
        <w:tc>
          <w:tcPr>
            <w:tcW w:type="dxa" w:w="1728"/>
          </w:tcPr>
          <w:p>
            <w:r>
              <w:t>Not signed off: draft for review</w:t>
            </w:r>
          </w:p>
        </w:tc>
      </w:tr>
    </w:tbl>
    <w:p>
      <w:r>
        <w:t>Full autonomy over account and endpoint actions is a board-level operational risk. Escalate with a tiered design.</w:t>
      </w:r>
    </w:p>
    <w:p>
      <w:r>
        <w:rPr>
          <w:b/>
        </w:rPr>
        <w:t>Conditions:</w:t>
      </w:r>
    </w:p>
    <w:p>
      <w:pPr>
        <w:pStyle w:val="ListBullet"/>
      </w:pPr>
      <w:r>
        <w:t>Tiered autonomy defined in an operating envelope</w:t>
      </w:r>
    </w:p>
    <w:p>
      <w:pPr>
        <w:pStyle w:val="ListBullet"/>
      </w:pPr>
      <w:r>
        <w:t>Protected asset list and tested kill switch</w:t>
      </w:r>
    </w:p>
    <w:p>
      <w:pPr>
        <w:pStyle w:val="Heading1"/>
      </w:pPr>
      <w:r>
        <w:t>2. Use case</w:t>
      </w:r>
    </w:p>
    <w:p>
      <w:r>
        <w:t>A financial-services firm wants an LLM agent that takes containment actions through EDR and IAM APIs without human approval.</w:t>
      </w:r>
    </w:p>
    <w:p>
      <w:pPr>
        <w:pStyle w:val="Heading1"/>
      </w:pPr>
      <w:r>
        <w:t>3. Top risks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ID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Inherent</w:t>
            </w:r>
          </w:p>
        </w:tc>
      </w:tr>
      <w:tr>
        <w:tc>
          <w:tcPr>
            <w:tcW w:type="dxa" w:w="1728"/>
          </w:tcPr>
          <w:p>
            <w:r>
              <w:t>R-01</w:t>
            </w:r>
          </w:p>
        </w:tc>
        <w:tc>
          <w:tcPr>
            <w:tcW w:type="dxa" w:w="1728"/>
          </w:tcPr>
          <w:p>
            <w:r>
              <w:t>Agent disables critical accounts or servers</w:t>
            </w:r>
          </w:p>
        </w:tc>
        <w:tc>
          <w:tcPr>
            <w:tcW w:type="dxa" w:w="1728"/>
          </w:tcPr>
          <w:p>
            <w:r>
              <w:t>Likely</w:t>
            </w:r>
          </w:p>
        </w:tc>
        <w:tc>
          <w:tcPr>
            <w:tcW w:type="dxa" w:w="1728"/>
          </w:tcPr>
          <w:p>
            <w:r>
              <w:t>Severe</w:t>
            </w:r>
          </w:p>
        </w:tc>
        <w:tc>
          <w:tcPr>
            <w:tcW w:type="dxa" w:w="1728"/>
          </w:tcPr>
          <w:p>
            <w:r>
              <w:t>Critical</w:t>
            </w:r>
          </w:p>
        </w:tc>
      </w:tr>
      <w:tr>
        <w:tc>
          <w:tcPr>
            <w:tcW w:type="dxa" w:w="1728"/>
          </w:tcPr>
          <w:p>
            <w:r>
              <w:t>R-02</w:t>
            </w:r>
          </w:p>
        </w:tc>
        <w:tc>
          <w:tcPr>
            <w:tcW w:type="dxa" w:w="1728"/>
          </w:tcPr>
          <w:p>
            <w:r>
              <w:t>Attacker triggers the agent against the organisation</w:t>
            </w:r>
          </w:p>
        </w:tc>
        <w:tc>
          <w:tcPr>
            <w:tcW w:type="dxa" w:w="1728"/>
          </w:tcPr>
          <w:p>
            <w:r>
              <w:t>Possible</w:t>
            </w:r>
          </w:p>
        </w:tc>
        <w:tc>
          <w:tcPr>
            <w:tcW w:type="dxa" w:w="1728"/>
          </w:tcPr>
          <w:p>
            <w:r>
              <w:t>Severe</w:t>
            </w:r>
          </w:p>
        </w:tc>
        <w:tc>
          <w:tcPr>
            <w:tcW w:type="dxa" w:w="1728"/>
          </w:tcPr>
          <w:p>
            <w:r>
              <w:t>Critical</w:t>
            </w:r>
          </w:p>
        </w:tc>
      </w:tr>
      <w:tr>
        <w:tc>
          <w:tcPr>
            <w:tcW w:type="dxa" w:w="1728"/>
          </w:tcPr>
          <w:p>
            <w:r>
              <w:t>R-03</w:t>
            </w:r>
          </w:p>
        </w:tc>
        <w:tc>
          <w:tcPr>
            <w:tcW w:type="dxa" w:w="1728"/>
          </w:tcPr>
          <w:p>
            <w:r>
              <w:t>No audit trail of agent reasoning</w:t>
            </w:r>
          </w:p>
        </w:tc>
        <w:tc>
          <w:tcPr>
            <w:tcW w:type="dxa" w:w="1728"/>
          </w:tcPr>
          <w:p>
            <w:r>
              <w:t>Possible</w:t>
            </w:r>
          </w:p>
        </w:tc>
        <w:tc>
          <w:tcPr>
            <w:tcW w:type="dxa" w:w="1728"/>
          </w:tcPr>
          <w:p>
            <w:r>
              <w:t>Moderate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</w:tr>
    </w:tbl>
    <w:p>
      <w:pPr>
        <w:pStyle w:val="Heading1"/>
      </w:pPr>
      <w:r>
        <w:t>4. Security threats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ID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Threat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Rating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Reference</w:t>
            </w:r>
          </w:p>
        </w:tc>
      </w:tr>
      <w:tr>
        <w:tc>
          <w:tcPr>
            <w:tcW w:type="dxa" w:w="2160"/>
          </w:tcPr>
          <w:p>
            <w:r>
              <w:t>T-01</w:t>
            </w:r>
          </w:p>
        </w:tc>
        <w:tc>
          <w:tcPr>
            <w:tcW w:type="dxa" w:w="2160"/>
          </w:tcPr>
          <w:p>
            <w:r>
              <w:t>Alert injection steering agent actions</w:t>
            </w:r>
          </w:p>
        </w:tc>
        <w:tc>
          <w:tcPr>
            <w:tcW w:type="dxa" w:w="2160"/>
          </w:tcPr>
          <w:p>
            <w:r>
              <w:t>Critical</w:t>
            </w:r>
          </w:p>
        </w:tc>
        <w:tc>
          <w:tcPr>
            <w:tcW w:type="dxa" w:w="2160"/>
          </w:tcPr>
          <w:p>
            <w:r>
              <w:t>OWASP LLM01:2025; LLM06:2025</w:t>
            </w:r>
          </w:p>
        </w:tc>
      </w:tr>
      <w:tr>
        <w:tc>
          <w:tcPr>
            <w:tcW w:type="dxa" w:w="2160"/>
          </w:tcPr>
          <w:p>
            <w:r>
              <w:t>T-02</w:t>
            </w:r>
          </w:p>
        </w:tc>
        <w:tc>
          <w:tcPr>
            <w:tcW w:type="dxa" w:w="2160"/>
          </w:tcPr>
          <w:p>
            <w:r>
              <w:t>Compromise of agent credentials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MITRE ATT&amp;CK T1078</w:t>
            </w:r>
          </w:p>
        </w:tc>
      </w:tr>
    </w:tbl>
    <w:p>
      <w:pPr>
        <w:pStyle w:val="Heading1"/>
      </w:pPr>
      <w:r>
        <w:t>5. Regulatory obligations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Regulation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Jurisdiction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Applicability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Why relevant</w:t>
            </w:r>
          </w:p>
        </w:tc>
      </w:tr>
      <w:tr>
        <w:tc>
          <w:tcPr>
            <w:tcW w:type="dxa" w:w="2160"/>
          </w:tcPr>
          <w:p>
            <w:r>
              <w:t>APRA CPS 234 Information Security</w:t>
            </w:r>
          </w:p>
        </w:tc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potentially_applicable</w:t>
            </w:r>
          </w:p>
        </w:tc>
        <w:tc>
          <w:tcPr>
            <w:tcW w:type="dxa" w:w="2160"/>
          </w:tcPr>
          <w:p>
            <w:r>
              <w:t>Applies to APRA-regulated entities; incident response is in scope.</w:t>
            </w:r>
          </w:p>
        </w:tc>
      </w:tr>
      <w:tr>
        <w:tc>
          <w:tcPr>
            <w:tcW w:type="dxa" w:w="2160"/>
          </w:tcPr>
          <w:p>
            <w:r>
              <w:t>APRA CPS 230 Operational Risk Management</w:t>
            </w:r>
          </w:p>
        </w:tc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potentially_applicable</w:t>
            </w:r>
          </w:p>
        </w:tc>
        <w:tc>
          <w:tcPr>
            <w:tcW w:type="dxa" w:w="2160"/>
          </w:tcPr>
          <w:p>
            <w:r>
              <w:t>Agent errors could disrupt critical operations.</w:t>
            </w:r>
          </w:p>
        </w:tc>
      </w:tr>
    </w:tbl>
    <w:p>
      <w:r>
        <w:t>Regulatory statements are drafted by a language model, grounded in retrieved sources where Secure-RAG is connected. Verify against the current legislation before reliance.</w:t>
      </w:r>
    </w:p>
    <w:p>
      <w:pPr>
        <w:pStyle w:val="Heading1"/>
      </w:pPr>
      <w:r>
        <w:t>6. Controls and residual risk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ID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Effectiveness</w:t>
            </w:r>
          </w:p>
        </w:tc>
      </w:tr>
      <w:tr>
        <w:tc>
          <w:tcPr>
            <w:tcW w:type="dxa" w:w="2160"/>
          </w:tcPr>
          <w:p>
            <w:r>
              <w:t>C-01</w:t>
            </w:r>
          </w:p>
        </w:tc>
        <w:tc>
          <w:tcPr>
            <w:tcW w:type="dxa" w:w="2160"/>
          </w:tcPr>
          <w:p>
            <w:r>
              <w:t>Operating envelope with tiered autonomy</w:t>
            </w:r>
          </w:p>
        </w:tc>
        <w:tc>
          <w:tcPr>
            <w:tcW w:type="dxa" w:w="2160"/>
          </w:tcPr>
          <w:p>
            <w:r>
              <w:t>Immediate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</w:tr>
      <w:tr>
        <w:tc>
          <w:tcPr>
            <w:tcW w:type="dxa" w:w="2160"/>
          </w:tcPr>
          <w:p>
            <w:r>
              <w:t>C-02</w:t>
            </w:r>
          </w:p>
        </w:tc>
        <w:tc>
          <w:tcPr>
            <w:tcW w:type="dxa" w:w="2160"/>
          </w:tcPr>
          <w:p>
            <w:r>
              <w:t>Protected asset list and kill switch</w:t>
            </w:r>
          </w:p>
        </w:tc>
        <w:tc>
          <w:tcPr>
            <w:tcW w:type="dxa" w:w="2160"/>
          </w:tcPr>
          <w:p>
            <w:r>
              <w:t>Immediate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</w:tr>
      <w:tr>
        <w:tc>
          <w:tcPr>
            <w:tcW w:type="dxa" w:w="2160"/>
          </w:tcPr>
          <w:p>
            <w:r>
              <w:t>C-03</w:t>
            </w:r>
          </w:p>
        </w:tc>
        <w:tc>
          <w:tcPr>
            <w:tcW w:type="dxa" w:w="2160"/>
          </w:tcPr>
          <w:p>
            <w:r>
              <w:t>Action and reasoning audit log</w:t>
            </w:r>
          </w:p>
        </w:tc>
        <w:tc>
          <w:tcPr>
            <w:tcW w:type="dxa" w:w="2160"/>
          </w:tcPr>
          <w:p>
            <w:r>
              <w:t>Near-term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</w:tr>
    </w:tbl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Inherent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Residual</w:t>
            </w:r>
          </w:p>
        </w:tc>
      </w:tr>
      <w:tr>
        <w:tc>
          <w:tcPr>
            <w:tcW w:type="dxa" w:w="2160"/>
          </w:tcPr>
          <w:p>
            <w:r>
              <w:t>Agent disables critical accounts or servers</w:t>
            </w:r>
          </w:p>
        </w:tc>
        <w:tc>
          <w:tcPr>
            <w:tcW w:type="dxa" w:w="2160"/>
          </w:tcPr>
          <w:p>
            <w:r>
              <w:t>Critical</w:t>
            </w:r>
          </w:p>
        </w:tc>
        <w:tc>
          <w:tcPr>
            <w:tcW w:type="dxa" w:w="2160"/>
          </w:tcPr>
          <w:p>
            <w:r>
              <w:t>C-01, C-02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  <w:tr>
        <w:tc>
          <w:tcPr>
            <w:tcW w:type="dxa" w:w="2160"/>
          </w:tcPr>
          <w:p>
            <w:r>
              <w:t>Attacker triggers the agent against the organisation</w:t>
            </w:r>
          </w:p>
        </w:tc>
        <w:tc>
          <w:tcPr>
            <w:tcW w:type="dxa" w:w="2160"/>
          </w:tcPr>
          <w:p>
            <w:r>
              <w:t>Critical</w:t>
            </w:r>
          </w:p>
        </w:tc>
        <w:tc>
          <w:tcPr>
            <w:tcW w:type="dxa" w:w="2160"/>
          </w:tcPr>
          <w:p>
            <w:r>
              <w:t>C-01, C-02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  <w:tr>
        <w:tc>
          <w:tcPr>
            <w:tcW w:type="dxa" w:w="2160"/>
          </w:tcPr>
          <w:p>
            <w:r>
              <w:t>No audit trail of agent reasoning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C-03</w:t>
            </w:r>
          </w:p>
        </w:tc>
        <w:tc>
          <w:tcPr>
            <w:tcW w:type="dxa" w:w="2160"/>
          </w:tcPr>
          <w:p>
            <w:r>
              <w:t>Low</w:t>
            </w:r>
          </w:p>
        </w:tc>
      </w:tr>
    </w:tbl>
    <w:p>
      <w:pPr>
        <w:pStyle w:val="Heading1"/>
      </w:pPr>
      <w:r>
        <w:t>7. Remediation plan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ID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Horizon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Priority</w:t>
            </w:r>
          </w:p>
        </w:tc>
      </w:tr>
      <w:tr>
        <w:tc>
          <w:tcPr>
            <w:tcW w:type="dxa" w:w="1728"/>
          </w:tcPr>
          <w:p>
            <w:r>
              <w:t>A-01</w:t>
            </w:r>
          </w:p>
        </w:tc>
        <w:tc>
          <w:tcPr>
            <w:tcW w:type="dxa" w:w="1728"/>
          </w:tcPr>
          <w:p>
            <w:r>
              <w:t>0-30 days</w:t>
            </w:r>
          </w:p>
        </w:tc>
        <w:tc>
          <w:tcPr>
            <w:tcW w:type="dxa" w:w="1728"/>
          </w:tcPr>
          <w:p>
            <w:r>
              <w:t>Define the operating envelope and protected assets</w:t>
            </w:r>
          </w:p>
        </w:tc>
        <w:tc>
          <w:tcPr>
            <w:tcW w:type="dxa" w:w="1728"/>
          </w:tcPr>
          <w:p>
            <w:r>
              <w:t>CISO</w:t>
            </w:r>
          </w:p>
        </w:tc>
        <w:tc>
          <w:tcPr>
            <w:tcW w:type="dxa" w:w="1728"/>
          </w:tcPr>
          <w:p>
            <w:r>
              <w:t>Critical</w:t>
            </w:r>
          </w:p>
        </w:tc>
      </w:tr>
      <w:tr>
        <w:tc>
          <w:tcPr>
            <w:tcW w:type="dxa" w:w="1728"/>
          </w:tcPr>
          <w:p>
            <w:r>
              <w:t>A-02</w:t>
            </w:r>
          </w:p>
        </w:tc>
        <w:tc>
          <w:tcPr>
            <w:tcW w:type="dxa" w:w="1728"/>
          </w:tcPr>
          <w:p>
            <w:r>
              <w:t>30-90 days</w:t>
            </w:r>
          </w:p>
        </w:tc>
        <w:tc>
          <w:tcPr>
            <w:tcW w:type="dxa" w:w="1728"/>
          </w:tcPr>
          <w:p>
            <w:r>
              <w:t>Pilot in recommend-only mode and measure false positives</w:t>
            </w:r>
          </w:p>
        </w:tc>
        <w:tc>
          <w:tcPr>
            <w:tcW w:type="dxa" w:w="1728"/>
          </w:tcPr>
          <w:p>
            <w:r>
              <w:t>SOC Manager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</w:tbl>
    <w:p>
      <w:pPr>
        <w:pStyle w:val="Heading1"/>
      </w:pPr>
      <w:r>
        <w:t>8. Framework mapping (suggested)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ISO/IEC 42001 Annex 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NIST AI RMF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OWASP LLM 2025</w:t>
            </w:r>
          </w:p>
        </w:tc>
      </w:tr>
      <w:tr>
        <w:tc>
          <w:tcPr>
            <w:tcW w:type="dxa" w:w="2160"/>
          </w:tcPr>
          <w:p>
            <w:r>
              <w:t>C-01 Operating envelope with tiered autonomy</w:t>
            </w:r>
          </w:p>
        </w:tc>
        <w:tc>
          <w:tcPr>
            <w:tcW w:type="dxa" w:w="2160"/>
          </w:tcPr>
          <w:p>
            <w:r>
              <w:t>A.5 Assessing impacts of AI systems; A.9 Use of AI systems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LLM06 Excessive Agency</w:t>
            </w:r>
          </w:p>
        </w:tc>
      </w:tr>
      <w:tr>
        <w:tc>
          <w:tcPr>
            <w:tcW w:type="dxa" w:w="2160"/>
          </w:tcPr>
          <w:p>
            <w:r>
              <w:t>C-02 Protected asset list and kill switch</w:t>
            </w:r>
          </w:p>
        </w:tc>
        <w:tc>
          <w:tcPr>
            <w:tcW w:type="dxa" w:w="2160"/>
          </w:tcPr>
          <w:p>
            <w:r>
              <w:t>A.6 AI system life cycle</w:t>
            </w:r>
          </w:p>
        </w:tc>
        <w:tc>
          <w:tcPr>
            <w:tcW w:type="dxa" w:w="2160"/>
          </w:tcPr>
          <w:p>
            <w:r>
              <w:t>MANAGE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C-03 Action and reasoning audit log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t>Suggested by keyword rules at heading level; verify each mapping against the licensed standard before using it in a statement of applicability or audit.</w:t>
      </w:r>
    </w:p>
    <w:p>
      <w:pPr>
        <w:pStyle w:val="Heading1"/>
      </w:pPr>
      <w:r>
        <w:t>9. Audit record</w:t>
      </w:r>
    </w:p>
    <w:p>
      <w:r>
        <w:t>Audit trail: 1 events, chain intact. Chain head SHA-256 at the time of this pack: c1bb63f77f99cbea61602a165e733e1a4ef52c144efc696c66b0227582df5eee. Keep this value: a later change to any earlier event would no longer reproduce it.</w:t>
      </w:r>
    </w:p>
    <w:p>
      <w:pPr>
        <w:pStyle w:val="Heading1"/>
      </w:pPr>
      <w:r>
        <w:t>10. Limitations</w:t>
      </w:r>
    </w:p>
    <w:p>
      <w:r>
        <w:t>Prepared with AI assistance as decision support, not legal or regulatory advice. Ratings, obligations and controls must be reviewed by qualified people. The analysis reflects the scenario as described.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Generated by Agentic Risk Analyst v3.2.1 on 2026-10-31 11:53:48 UTC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