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use case risk assessment: Worked example: Generative AI chatbot for internal HR policy</w:t>
      </w:r>
    </w:p>
    <w:p>
      <w:r>
        <w:t>Client: Worked examples   Assessment ARA-261031-2D523F version 1   2026-10-31 06:37:15 UTC</w:t>
      </w:r>
    </w:p>
    <w:p>
      <w:pPr>
        <w:pStyle w:val="Heading1"/>
      </w:pPr>
      <w:r>
        <w:t>1. Decision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Recommendation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Inherent risk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Residual risk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Items reviewed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Sign-off</w:t>
            </w:r>
          </w:p>
        </w:tc>
      </w:tr>
      <w:tr>
        <w:tc>
          <w:tcPr>
            <w:tcW w:type="dxa" w:w="1728"/>
          </w:tcPr>
          <w:p>
            <w:r>
              <w:t>APPROVE_WITH_CONDITIONS</w:t>
            </w:r>
          </w:p>
        </w:tc>
        <w:tc>
          <w:tcPr>
            <w:tcW w:type="dxa" w:w="1728"/>
          </w:tcPr>
          <w:p>
            <w:r>
              <w:t>Critical</w:t>
            </w:r>
          </w:p>
        </w:tc>
        <w:tc>
          <w:tcPr>
            <w:tcW w:type="dxa" w:w="1728"/>
          </w:tcPr>
          <w:p>
            <w:r>
              <w:t>Low</w:t>
            </w:r>
          </w:p>
        </w:tc>
        <w:tc>
          <w:tcPr>
            <w:tcW w:type="dxa" w:w="1728"/>
          </w:tcPr>
          <w:p>
            <w:r>
              <w:t>0 of 15 (0 changed, 0 rejected)</w:t>
            </w:r>
          </w:p>
        </w:tc>
        <w:tc>
          <w:tcPr>
            <w:tcW w:type="dxa" w:w="1728"/>
          </w:tcPr>
          <w:p>
            <w:r>
              <w:t>Not signed off: draft for review</w:t>
            </w:r>
          </w:p>
        </w:tc>
      </w:tr>
    </w:tbl>
    <w:p>
      <w:r>
        <w:t>Valuable and low-autonomy, but only if personal records stay out of the index and permissions are enforced and tested.</w:t>
      </w:r>
    </w:p>
    <w:p>
      <w:r>
        <w:rPr>
          <w:b/>
        </w:rPr>
        <w:t>Conditions:</w:t>
      </w:r>
    </w:p>
    <w:p>
      <w:pPr>
        <w:pStyle w:val="ListBullet"/>
      </w:pPr>
      <w:r>
        <w:t>Exclude personal records from the index</w:t>
      </w:r>
    </w:p>
    <w:p>
      <w:pPr>
        <w:pStyle w:val="ListBullet"/>
      </w:pPr>
      <w:r>
        <w:t>Permission-aware retrieval tested for every role</w:t>
      </w:r>
    </w:p>
    <w:p>
      <w:pPr>
        <w:pStyle w:val="ListBullet"/>
      </w:pPr>
      <w:r>
        <w:t>Provider contract prevents training on prompts</w:t>
      </w:r>
    </w:p>
    <w:p>
      <w:pPr>
        <w:pStyle w:val="ListBullet"/>
      </w:pPr>
      <w:r>
        <w:t>Confirm employee locations and complete privacy assessments</w:t>
      </w:r>
    </w:p>
    <w:p>
      <w:pPr>
        <w:pStyle w:val="Heading1"/>
      </w:pPr>
      <w:r>
        <w:t>2. Use case</w:t>
      </w:r>
    </w:p>
    <w:p>
      <w:r>
        <w:t>A global manufacturer wants a multilingual Teams chatbot that answers HR policy questions from its library using an external LLM; retrieved documents may include salary and medical leave details.</w:t>
      </w:r>
    </w:p>
    <w:p>
      <w:pPr>
        <w:pStyle w:val="Heading1"/>
      </w:pPr>
      <w:r>
        <w:t>3. Top risks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ID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Risk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Inherent</w:t>
            </w:r>
          </w:p>
        </w:tc>
      </w:tr>
      <w:tr>
        <w:tc>
          <w:tcPr>
            <w:tcW w:type="dxa" w:w="1728"/>
          </w:tcPr>
          <w:p>
            <w:r>
              <w:t>R-01</w:t>
            </w:r>
          </w:p>
        </w:tc>
        <w:tc>
          <w:tcPr>
            <w:tcW w:type="dxa" w:w="1728"/>
          </w:tcPr>
          <w:p>
            <w:r>
              <w:t>Employees see colleagues' salary or medical data</w:t>
            </w:r>
          </w:p>
        </w:tc>
        <w:tc>
          <w:tcPr>
            <w:tcW w:type="dxa" w:w="1728"/>
          </w:tcPr>
          <w:p>
            <w:r>
              <w:t>Likely</w:t>
            </w:r>
          </w:p>
        </w:tc>
        <w:tc>
          <w:tcPr>
            <w:tcW w:type="dxa" w:w="1728"/>
          </w:tcPr>
          <w:p>
            <w:r>
              <w:t>Major</w:t>
            </w:r>
          </w:p>
        </w:tc>
        <w:tc>
          <w:tcPr>
            <w:tcW w:type="dxa" w:w="1728"/>
          </w:tcPr>
          <w:p>
            <w:r>
              <w:t>Critical</w:t>
            </w:r>
          </w:p>
        </w:tc>
      </w:tr>
      <w:tr>
        <w:tc>
          <w:tcPr>
            <w:tcW w:type="dxa" w:w="1728"/>
          </w:tcPr>
          <w:p>
            <w:r>
              <w:t>R-02</w:t>
            </w:r>
          </w:p>
        </w:tc>
        <w:tc>
          <w:tcPr>
            <w:tcW w:type="dxa" w:w="1728"/>
          </w:tcPr>
          <w:p>
            <w:r>
              <w:t>Wrong policy answers</w:t>
            </w:r>
          </w:p>
        </w:tc>
        <w:tc>
          <w:tcPr>
            <w:tcW w:type="dxa" w:w="1728"/>
          </w:tcPr>
          <w:p>
            <w:r>
              <w:t>Possible</w:t>
            </w:r>
          </w:p>
        </w:tc>
        <w:tc>
          <w:tcPr>
            <w:tcW w:type="dxa" w:w="1728"/>
          </w:tcPr>
          <w:p>
            <w:r>
              <w:t>Moderate</w:t>
            </w:r>
          </w:p>
        </w:tc>
        <w:tc>
          <w:tcPr>
            <w:tcW w:type="dxa" w:w="1728"/>
          </w:tcPr>
          <w:p>
            <w:r>
              <w:t>Medium</w:t>
            </w:r>
          </w:p>
        </w:tc>
      </w:tr>
      <w:tr>
        <w:tc>
          <w:tcPr>
            <w:tcW w:type="dxa" w:w="1728"/>
          </w:tcPr>
          <w:p>
            <w:r>
              <w:t>R-03</w:t>
            </w:r>
          </w:p>
        </w:tc>
        <w:tc>
          <w:tcPr>
            <w:tcW w:type="dxa" w:w="1728"/>
          </w:tcPr>
          <w:p>
            <w:r>
              <w:t>External LLM retains HR data</w:t>
            </w:r>
          </w:p>
        </w:tc>
        <w:tc>
          <w:tcPr>
            <w:tcW w:type="dxa" w:w="1728"/>
          </w:tcPr>
          <w:p>
            <w:r>
              <w:t>Possible</w:t>
            </w:r>
          </w:p>
        </w:tc>
        <w:tc>
          <w:tcPr>
            <w:tcW w:type="dxa" w:w="1728"/>
          </w:tcPr>
          <w:p>
            <w:r>
              <w:t>Major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</w:tr>
      <w:tr>
        <w:tc>
          <w:tcPr>
            <w:tcW w:type="dxa" w:w="1728"/>
          </w:tcPr>
          <w:p>
            <w:r>
              <w:t>R-04</w:t>
            </w:r>
          </w:p>
        </w:tc>
        <w:tc>
          <w:tcPr>
            <w:tcW w:type="dxa" w:w="1728"/>
          </w:tcPr>
          <w:p>
            <w:r>
              <w:t>Translation errors change policy meaning</w:t>
            </w:r>
          </w:p>
        </w:tc>
        <w:tc>
          <w:tcPr>
            <w:tcW w:type="dxa" w:w="1728"/>
          </w:tcPr>
          <w:p>
            <w:r>
              <w:t>Possible</w:t>
            </w:r>
          </w:p>
        </w:tc>
        <w:tc>
          <w:tcPr>
            <w:tcW w:type="dxa" w:w="1728"/>
          </w:tcPr>
          <w:p>
            <w:r>
              <w:t>Moderate</w:t>
            </w:r>
          </w:p>
        </w:tc>
        <w:tc>
          <w:tcPr>
            <w:tcW w:type="dxa" w:w="1728"/>
          </w:tcPr>
          <w:p>
            <w:r>
              <w:t>Medium</w:t>
            </w:r>
          </w:p>
        </w:tc>
      </w:tr>
    </w:tbl>
    <w:p>
      <w:pPr>
        <w:pStyle w:val="Heading1"/>
      </w:pPr>
      <w:r>
        <w:t>4. Security threats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ID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Threat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Rating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Reference</w:t>
            </w:r>
          </w:p>
        </w:tc>
      </w:tr>
      <w:tr>
        <w:tc>
          <w:tcPr>
            <w:tcW w:type="dxa" w:w="2160"/>
          </w:tcPr>
          <w:p>
            <w:r>
              <w:t>T-01</w:t>
            </w:r>
          </w:p>
        </w:tc>
        <w:tc>
          <w:tcPr>
            <w:tcW w:type="dxa" w:w="2160"/>
          </w:tcPr>
          <w:p>
            <w:r>
              <w:t>Permission bypass through retrieval</w:t>
            </w:r>
          </w:p>
        </w:tc>
        <w:tc>
          <w:tcPr>
            <w:tcW w:type="dxa" w:w="2160"/>
          </w:tcPr>
          <w:p>
            <w:r>
              <w:t>Critical</w:t>
            </w:r>
          </w:p>
        </w:tc>
        <w:tc>
          <w:tcPr>
            <w:tcW w:type="dxa" w:w="2160"/>
          </w:tcPr>
          <w:p>
            <w:r>
              <w:t>OWASP LLM08:2025</w:t>
            </w:r>
          </w:p>
        </w:tc>
      </w:tr>
      <w:tr>
        <w:tc>
          <w:tcPr>
            <w:tcW w:type="dxa" w:w="2160"/>
          </w:tcPr>
          <w:p>
            <w:r>
              <w:t>T-02</w:t>
            </w:r>
          </w:p>
        </w:tc>
        <w:tc>
          <w:tcPr>
            <w:tcW w:type="dxa" w:w="2160"/>
          </w:tcPr>
          <w:p>
            <w:r>
              <w:t>Indirect prompt injection in a policy document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OWASP LLM01:2025</w:t>
            </w:r>
          </w:p>
        </w:tc>
      </w:tr>
    </w:tbl>
    <w:p>
      <w:pPr>
        <w:pStyle w:val="Heading1"/>
      </w:pPr>
      <w:r>
        <w:t>5. Regulatory obligations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Regulation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Jurisdiction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Applicability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Why relevant</w:t>
            </w:r>
          </w:p>
        </w:tc>
      </w:tr>
      <w:tr>
        <w:tc>
          <w:tcPr>
            <w:tcW w:type="dxa" w:w="2160"/>
          </w:tcPr>
          <w:p>
            <w:r>
              <w:t>Privacy Act 1988</w:t>
            </w:r>
          </w:p>
        </w:tc>
        <w:tc>
          <w:tcPr>
            <w:tcW w:type="dxa" w:w="2160"/>
          </w:tcPr>
          <w:p>
            <w:r>
              <w:t>Australia</w:t>
            </w:r>
          </w:p>
        </w:tc>
        <w:tc>
          <w:tcPr>
            <w:tcW w:type="dxa" w:w="2160"/>
          </w:tcPr>
          <w:p>
            <w:r>
              <w:t>potentially_applicable</w:t>
            </w:r>
          </w:p>
        </w:tc>
        <w:tc>
          <w:tcPr>
            <w:tcW w:type="dxa" w:w="2160"/>
          </w:tcPr>
          <w:p>
            <w:r>
              <w:t>Applies to Australian operations; the employee records exemption may cover some handling by a private-sector employer, but not necessarily disclosure to an external provider.</w:t>
            </w:r>
          </w:p>
        </w:tc>
      </w:tr>
      <w:tr>
        <w:tc>
          <w:tcPr>
            <w:tcW w:type="dxa" w:w="2160"/>
          </w:tcPr>
          <w:p>
            <w:r>
              <w:t>General Data Protection Regulation (EU) 2016/679</w:t>
            </w:r>
          </w:p>
        </w:tc>
        <w:tc>
          <w:tcPr>
            <w:tcW w:type="dxa" w:w="2160"/>
          </w:tcPr>
          <w:p>
            <w:r>
              <w:t>European Union</w:t>
            </w:r>
          </w:p>
        </w:tc>
        <w:tc>
          <w:tcPr>
            <w:tcW w:type="dxa" w:w="2160"/>
          </w:tcPr>
          <w:p>
            <w:r>
              <w:t>potentially_applicable</w:t>
            </w:r>
          </w:p>
        </w:tc>
        <w:tc>
          <w:tcPr>
            <w:tcW w:type="dxa" w:w="2160"/>
          </w:tcPr>
          <w:p>
            <w:r>
              <w:t>Applies if employees are in the EU; health data is a special category.</w:t>
            </w:r>
          </w:p>
        </w:tc>
      </w:tr>
      <w:tr>
        <w:tc>
          <w:tcPr>
            <w:tcW w:type="dxa" w:w="2160"/>
          </w:tcPr>
          <w:p>
            <w:r>
              <w:t>Regulation (EU) 2024/1689 (AI Act), Article 50 transparency</w:t>
            </w:r>
          </w:p>
        </w:tc>
        <w:tc>
          <w:tcPr>
            <w:tcW w:type="dxa" w:w="2160"/>
          </w:tcPr>
          <w:p>
            <w:r>
              <w:t>European Union</w:t>
            </w:r>
          </w:p>
        </w:tc>
        <w:tc>
          <w:tcPr>
            <w:tcW w:type="dxa" w:w="2160"/>
          </w:tcPr>
          <w:p>
            <w:r>
              <w:t>potentially_applicable</w:t>
            </w:r>
          </w:p>
        </w:tc>
        <w:tc>
          <w:tcPr>
            <w:tcW w:type="dxa" w:w="2160"/>
          </w:tcPr>
          <w:p>
            <w:r>
              <w:t>AI systems that interact with people must make clear they are interacting with AI.</w:t>
            </w:r>
          </w:p>
        </w:tc>
      </w:tr>
      <w:tr>
        <w:tc>
          <w:tcPr>
            <w:tcW w:type="dxa" w:w="2160"/>
          </w:tcPr>
          <w:p>
            <w:r>
              <w:t>Personal Information Protection Law (China); LGPD (Brazil)</w:t>
            </w:r>
          </w:p>
        </w:tc>
        <w:tc>
          <w:tcPr>
            <w:tcW w:type="dxa" w:w="2160"/>
          </w:tcPr>
          <w:p>
            <w:r>
              <w:t>China; Brazil</w:t>
            </w:r>
          </w:p>
        </w:tc>
        <w:tc>
          <w:tcPr>
            <w:tcW w:type="dxa" w:w="2160"/>
          </w:tcPr>
          <w:p>
            <w:r>
              <w:t>not_enough_information</w:t>
            </w:r>
          </w:p>
        </w:tc>
        <w:tc>
          <w:tcPr>
            <w:tcW w:type="dxa" w:w="2160"/>
          </w:tcPr>
          <w:p>
            <w:r>
              <w:t>Mandarin and Portuguese suggest employees in these countries; locations are not stated.</w:t>
            </w:r>
          </w:p>
        </w:tc>
      </w:tr>
    </w:tbl>
    <w:p>
      <w:r>
        <w:t>Regulatory statements are drafted by a language model, grounded in retrieved sources where Secure-RAG is connected. Verify against the current legislation before reliance.</w:t>
      </w:r>
    </w:p>
    <w:p>
      <w:pPr>
        <w:pStyle w:val="Heading1"/>
      </w:pPr>
      <w:r>
        <w:t>6. Controls and residual risk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ID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Effectiveness</w:t>
            </w:r>
          </w:p>
        </w:tc>
      </w:tr>
      <w:tr>
        <w:tc>
          <w:tcPr>
            <w:tcW w:type="dxa" w:w="2160"/>
          </w:tcPr>
          <w:p>
            <w:r>
              <w:t>C-01</w:t>
            </w:r>
          </w:p>
        </w:tc>
        <w:tc>
          <w:tcPr>
            <w:tcW w:type="dxa" w:w="2160"/>
          </w:tcPr>
          <w:p>
            <w:r>
              <w:t>Permission-aware retrieval</w:t>
            </w:r>
          </w:p>
        </w:tc>
        <w:tc>
          <w:tcPr>
            <w:tcW w:type="dxa" w:w="2160"/>
          </w:tcPr>
          <w:p>
            <w:r>
              <w:t>Immediate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</w:tr>
      <w:tr>
        <w:tc>
          <w:tcPr>
            <w:tcW w:type="dxa" w:w="2160"/>
          </w:tcPr>
          <w:p>
            <w:r>
              <w:t>C-02</w:t>
            </w:r>
          </w:p>
        </w:tc>
        <w:tc>
          <w:tcPr>
            <w:tcW w:type="dxa" w:w="2160"/>
          </w:tcPr>
          <w:p>
            <w:r>
              <w:t>Exclude personal records from the index</w:t>
            </w:r>
          </w:p>
        </w:tc>
        <w:tc>
          <w:tcPr>
            <w:tcW w:type="dxa" w:w="2160"/>
          </w:tcPr>
          <w:p>
            <w:r>
              <w:t>Immediate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</w:tr>
      <w:tr>
        <w:tc>
          <w:tcPr>
            <w:tcW w:type="dxa" w:w="2160"/>
          </w:tcPr>
          <w:p>
            <w:r>
              <w:t>C-03</w:t>
            </w:r>
          </w:p>
        </w:tc>
        <w:tc>
          <w:tcPr>
            <w:tcW w:type="dxa" w:w="2160"/>
          </w:tcPr>
          <w:p>
            <w:r>
              <w:t>Provider terms: no training, limited retention</w:t>
            </w:r>
          </w:p>
        </w:tc>
        <w:tc>
          <w:tcPr>
            <w:tcW w:type="dxa" w:w="2160"/>
          </w:tcPr>
          <w:p>
            <w:r>
              <w:t>Immediate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  <w:tr>
        <w:tc>
          <w:tcPr>
            <w:tcW w:type="dxa" w:w="2160"/>
          </w:tcPr>
          <w:p>
            <w:r>
              <w:t>C-04</w:t>
            </w:r>
          </w:p>
        </w:tc>
        <w:tc>
          <w:tcPr>
            <w:tcW w:type="dxa" w:w="2160"/>
          </w:tcPr>
          <w:p>
            <w:r>
              <w:t>Grounded answers with citations and version control</w:t>
            </w:r>
          </w:p>
        </w:tc>
        <w:tc>
          <w:tcPr>
            <w:tcW w:type="dxa" w:w="2160"/>
          </w:tcPr>
          <w:p>
            <w:r>
              <w:t>Near-term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  <w:tr>
        <w:tc>
          <w:tcPr>
            <w:tcW w:type="dxa" w:w="2160"/>
          </w:tcPr>
          <w:p>
            <w:r>
              <w:t>C-05</w:t>
            </w:r>
          </w:p>
        </w:tc>
        <w:tc>
          <w:tcPr>
            <w:tcW w:type="dxa" w:w="2160"/>
          </w:tcPr>
          <w:p>
            <w:r>
              <w:t>Leakage testing before go-live</w:t>
            </w:r>
          </w:p>
        </w:tc>
        <w:tc>
          <w:tcPr>
            <w:tcW w:type="dxa" w:w="2160"/>
          </w:tcPr>
          <w:p>
            <w:r>
              <w:t>Immediate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</w:tr>
    </w:tbl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Inherent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Residual</w:t>
            </w:r>
          </w:p>
        </w:tc>
      </w:tr>
      <w:tr>
        <w:tc>
          <w:tcPr>
            <w:tcW w:type="dxa" w:w="2160"/>
          </w:tcPr>
          <w:p>
            <w:r>
              <w:t>Employees see colleagues' salary or medical data</w:t>
            </w:r>
          </w:p>
        </w:tc>
        <w:tc>
          <w:tcPr>
            <w:tcW w:type="dxa" w:w="2160"/>
          </w:tcPr>
          <w:p>
            <w:r>
              <w:t>Critical</w:t>
            </w:r>
          </w:p>
        </w:tc>
        <w:tc>
          <w:tcPr>
            <w:tcW w:type="dxa" w:w="2160"/>
          </w:tcPr>
          <w:p>
            <w:r>
              <w:t>C-01, C-02, C-05</w:t>
            </w:r>
          </w:p>
        </w:tc>
        <w:tc>
          <w:tcPr>
            <w:tcW w:type="dxa" w:w="2160"/>
          </w:tcPr>
          <w:p>
            <w:r>
              <w:t>Low</w:t>
            </w:r>
          </w:p>
        </w:tc>
      </w:tr>
      <w:tr>
        <w:tc>
          <w:tcPr>
            <w:tcW w:type="dxa" w:w="2160"/>
          </w:tcPr>
          <w:p>
            <w:r>
              <w:t>Wrong policy answers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C-04</w:t>
            </w:r>
          </w:p>
        </w:tc>
        <w:tc>
          <w:tcPr>
            <w:tcW w:type="dxa" w:w="2160"/>
          </w:tcPr>
          <w:p>
            <w:r>
              <w:t>Low</w:t>
            </w:r>
          </w:p>
        </w:tc>
      </w:tr>
      <w:tr>
        <w:tc>
          <w:tcPr>
            <w:tcW w:type="dxa" w:w="2160"/>
          </w:tcPr>
          <w:p>
            <w:r>
              <w:t>External LLM retains HR data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>
              <w:t>C-02, C-03</w:t>
            </w:r>
          </w:p>
        </w:tc>
        <w:tc>
          <w:tcPr>
            <w:tcW w:type="dxa" w:w="2160"/>
          </w:tcPr>
          <w:p>
            <w:r>
              <w:t>Low</w:t>
            </w:r>
          </w:p>
        </w:tc>
      </w:tr>
      <w:tr>
        <w:tc>
          <w:tcPr>
            <w:tcW w:type="dxa" w:w="2160"/>
          </w:tcPr>
          <w:p>
            <w:r>
              <w:t>Translation errors change policy meaning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C-04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</w:tbl>
    <w:p>
      <w:pPr>
        <w:pStyle w:val="Heading1"/>
      </w:pPr>
      <w:r>
        <w:t>7. Remediation plan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ID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Horizon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Priority</w:t>
            </w:r>
          </w:p>
        </w:tc>
      </w:tr>
      <w:tr>
        <w:tc>
          <w:tcPr>
            <w:tcW w:type="dxa" w:w="1728"/>
          </w:tcPr>
          <w:p>
            <w:r>
              <w:t>A-01</w:t>
            </w:r>
          </w:p>
        </w:tc>
        <w:tc>
          <w:tcPr>
            <w:tcW w:type="dxa" w:w="1728"/>
          </w:tcPr>
          <w:p>
            <w:r>
              <w:t>0-30 days</w:t>
            </w:r>
          </w:p>
        </w:tc>
        <w:tc>
          <w:tcPr>
            <w:tcW w:type="dxa" w:w="1728"/>
          </w:tcPr>
          <w:p>
            <w:r>
              <w:t>Remove personal records from the library scope</w:t>
            </w:r>
          </w:p>
        </w:tc>
        <w:tc>
          <w:tcPr>
            <w:tcW w:type="dxa" w:w="1728"/>
          </w:tcPr>
          <w:p>
            <w:r>
              <w:t>HR Systems Owner</w:t>
            </w:r>
          </w:p>
        </w:tc>
        <w:tc>
          <w:tcPr>
            <w:tcW w:type="dxa" w:w="1728"/>
          </w:tcPr>
          <w:p>
            <w:r>
              <w:t>Critical</w:t>
            </w:r>
          </w:p>
        </w:tc>
      </w:tr>
      <w:tr>
        <w:tc>
          <w:tcPr>
            <w:tcW w:type="dxa" w:w="1728"/>
          </w:tcPr>
          <w:p>
            <w:r>
              <w:t>A-02</w:t>
            </w:r>
          </w:p>
        </w:tc>
        <w:tc>
          <w:tcPr>
            <w:tcW w:type="dxa" w:w="1728"/>
          </w:tcPr>
          <w:p>
            <w:r>
              <w:t>0-30 days</w:t>
            </w:r>
          </w:p>
        </w:tc>
        <w:tc>
          <w:tcPr>
            <w:tcW w:type="dxa" w:w="1728"/>
          </w:tcPr>
          <w:p>
            <w:r>
              <w:t>Run leakage tests per role</w:t>
            </w:r>
          </w:p>
        </w:tc>
        <w:tc>
          <w:tcPr>
            <w:tcW w:type="dxa" w:w="1728"/>
          </w:tcPr>
          <w:p>
            <w:r>
              <w:t>Security Testing</w:t>
            </w:r>
          </w:p>
        </w:tc>
        <w:tc>
          <w:tcPr>
            <w:tcW w:type="dxa" w:w="1728"/>
          </w:tcPr>
          <w:p>
            <w:r>
              <w:t>Critical</w:t>
            </w:r>
          </w:p>
        </w:tc>
      </w:tr>
      <w:tr>
        <w:tc>
          <w:tcPr>
            <w:tcW w:type="dxa" w:w="1728"/>
          </w:tcPr>
          <w:p>
            <w:r>
              <w:t>A-03</w:t>
            </w:r>
          </w:p>
        </w:tc>
        <w:tc>
          <w:tcPr>
            <w:tcW w:type="dxa" w:w="1728"/>
          </w:tcPr>
          <w:p>
            <w:r>
              <w:t>30-90 days</w:t>
            </w:r>
          </w:p>
        </w:tc>
        <w:tc>
          <w:tcPr>
            <w:tcW w:type="dxa" w:w="1728"/>
          </w:tcPr>
          <w:p>
            <w:r>
              <w:t>Complete privacy impact assessments per jurisdiction</w:t>
            </w:r>
          </w:p>
        </w:tc>
        <w:tc>
          <w:tcPr>
            <w:tcW w:type="dxa" w:w="1728"/>
          </w:tcPr>
          <w:p>
            <w:r>
              <w:t>Privacy Officer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</w:tr>
    </w:tbl>
    <w:p>
      <w:pPr>
        <w:pStyle w:val="Heading1"/>
      </w:pPr>
      <w:r>
        <w:t>8. Framework mapping (suggested)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ISO/IEC 42001 Annex 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NIST AI RMF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OWASP LLM 2025</w:t>
            </w:r>
          </w:p>
        </w:tc>
      </w:tr>
      <w:tr>
        <w:tc>
          <w:tcPr>
            <w:tcW w:type="dxa" w:w="2160"/>
          </w:tcPr>
          <w:p>
            <w:r>
              <w:t>C-01 Permission-aware retrieval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LLM06 Excessive Agency; LLM08 Vector and Embedding Weaknesses</w:t>
            </w:r>
          </w:p>
        </w:tc>
      </w:tr>
      <w:tr>
        <w:tc>
          <w:tcPr>
            <w:tcW w:type="dxa" w:w="2160"/>
          </w:tcPr>
          <w:p>
            <w:r>
              <w:t>C-02 Exclude personal records from the index</w:t>
            </w:r>
          </w:p>
        </w:tc>
        <w:tc>
          <w:tcPr>
            <w:tcW w:type="dxa" w:w="2160"/>
          </w:tcPr>
          <w:p>
            <w:r>
              <w:t>A.2 Policies related to AI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C-03 Provider terms: no training, limited retention</w:t>
            </w:r>
          </w:p>
        </w:tc>
        <w:tc>
          <w:tcPr>
            <w:tcW w:type="dxa" w:w="2160"/>
          </w:tcPr>
          <w:p>
            <w:r>
              <w:t>A.10 Third-party and customer relationships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C-04 Grounded answers with citations and version control</w:t>
            </w:r>
          </w:p>
        </w:tc>
        <w:tc>
          <w:tcPr>
            <w:tcW w:type="dxa" w:w="2160"/>
          </w:tcPr>
          <w:p>
            <w:r>
              <w:t>A.2 Policies related to AI; A.6 AI system life cycle</w:t>
            </w:r>
          </w:p>
        </w:tc>
        <w:tc>
          <w:tcPr>
            <w:tcW w:type="dxa" w:w="2160"/>
          </w:tcPr>
          <w:p>
            <w:r>
              <w:t>GOVERN</w:t>
            </w:r>
          </w:p>
        </w:tc>
        <w:tc>
          <w:tcPr>
            <w:tcW w:type="dxa" w:w="2160"/>
          </w:tcPr>
          <w:p>
            <w:r>
              <w:t>LLM09 Misinformation</w:t>
            </w:r>
          </w:p>
        </w:tc>
      </w:tr>
      <w:tr>
        <w:tc>
          <w:tcPr>
            <w:tcW w:type="dxa" w:w="2160"/>
          </w:tcPr>
          <w:p>
            <w:r>
              <w:t>C-05 Leakage testing before go-live</w:t>
            </w:r>
          </w:p>
        </w:tc>
        <w:tc>
          <w:tcPr>
            <w:tcW w:type="dxa" w:w="2160"/>
          </w:tcPr>
          <w:p>
            <w:r>
              <w:t>A.6 AI system life cycle</w:t>
            </w:r>
          </w:p>
        </w:tc>
        <w:tc>
          <w:tcPr>
            <w:tcW w:type="dxa" w:w="2160"/>
          </w:tcPr>
          <w:p>
            <w:r>
              <w:t>MEASURE</w:t>
            </w:r>
          </w:p>
        </w:tc>
        <w:tc>
          <w:tcPr>
            <w:tcW w:type="dxa" w:w="2160"/>
          </w:tcPr>
          <w:p>
            <w:r>
              <w:t>LLM08 Vector and Embedding Weaknesses</w:t>
            </w:r>
          </w:p>
        </w:tc>
      </w:tr>
    </w:tbl>
    <w:p>
      <w:r>
        <w:t>Suggested by keyword rules at heading level; verify each mapping against the licensed standard before using it in a statement of applicability or audit.</w:t>
      </w:r>
    </w:p>
    <w:p>
      <w:pPr>
        <w:pStyle w:val="Heading1"/>
      </w:pPr>
      <w:r>
        <w:t>9. Audit record</w:t>
      </w:r>
    </w:p>
    <w:p>
      <w:r>
        <w:t>Audit trail: 1 events, chain intact. Chain head SHA-256 at the time of this pack: c1bb63f77f99cbea61602a165e733e1a4ef52c144efc696c66b0227582df5eee. Keep this value: a later change to any earlier event would no longer reproduce it.</w:t>
      </w:r>
    </w:p>
    <w:p>
      <w:pPr>
        <w:pStyle w:val="Heading1"/>
      </w:pPr>
      <w:r>
        <w:t>10. Limitations</w:t>
      </w:r>
    </w:p>
    <w:p>
      <w:r>
        <w:t>Prepared with AI assistance as decision support, not legal or regulatory advice. Ratings, obligations and controls must be reviewed by qualified people. The analysis reflects the scenario as described.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Generated by Agentic Risk Analyst v3.2.1 on 2026-10-31 11:54:04 UTC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