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use case risk assessment: Worked example: Autonomous loan approval (Australia)</w:t>
      </w:r>
    </w:p>
    <w:p>
      <w:r>
        <w:t>Client: Worked examples   Assessment ARA-261031-D7361A version 1   2026-10-31 06:37:15 UTC</w:t>
      </w:r>
    </w:p>
    <w:p>
      <w:pPr>
        <w:pStyle w:val="Heading1"/>
      </w:pPr>
      <w:r>
        <w:t>1. Decision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Recommendation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Inherent 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Residual 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Items reviewed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Sign-off</w:t>
            </w:r>
          </w:p>
        </w:tc>
      </w:tr>
      <w:tr>
        <w:tc>
          <w:tcPr>
            <w:tcW w:type="dxa" w:w="1728"/>
          </w:tcPr>
          <w:p>
            <w:r>
              <w:t>APPROVE_WITH_CONDITIONS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  <w:tc>
          <w:tcPr>
            <w:tcW w:type="dxa" w:w="1728"/>
          </w:tcPr>
          <w:p>
            <w:r>
              <w:t>0 of 15 (0 changed, 0 rejected)</w:t>
            </w:r>
          </w:p>
        </w:tc>
        <w:tc>
          <w:tcPr>
            <w:tcW w:type="dxa" w:w="1728"/>
          </w:tcPr>
          <w:p>
            <w:r>
              <w:t>Not signed off: draft for review</w:t>
            </w:r>
          </w:p>
        </w:tc>
      </w:tr>
    </w:tbl>
    <w:p>
      <w:r>
        <w:t>Proceed only with a human gate for declines and larger loans, validated fairness and affordability, and updated transparency. Full automation of declines is not supported.</w:t>
      </w:r>
    </w:p>
    <w:p>
      <w:r>
        <w:rPr>
          <w:b/>
        </w:rPr>
        <w:t>Conditions:</w:t>
      </w:r>
    </w:p>
    <w:p>
      <w:pPr>
        <w:pStyle w:val="ListBullet"/>
      </w:pPr>
      <w:r>
        <w:t>Human review of all declines and approvals above AUD 30,000</w:t>
      </w:r>
    </w:p>
    <w:p>
      <w:pPr>
        <w:pStyle w:val="ListBullet"/>
      </w:pPr>
      <w:r>
        <w:t>Fairness and affordability testing before go-live</w:t>
      </w:r>
    </w:p>
    <w:p>
      <w:pPr>
        <w:pStyle w:val="ListBullet"/>
      </w:pPr>
      <w:r>
        <w:t>Privacy policy updated for APP 1.7 to 1.9 before 10 December 2026</w:t>
      </w:r>
    </w:p>
    <w:p>
      <w:pPr>
        <w:pStyle w:val="Heading1"/>
      </w:pPr>
      <w:r>
        <w:t>2. Use case</w:t>
      </w:r>
    </w:p>
    <w:p>
      <w:r>
        <w:t>An Australian bank wants an AI agent, built on a third-party foundation model, to approve personal loans up to AUD 50,000 in about 30 seconds, with no human review below AUD 30,000.</w:t>
      </w:r>
    </w:p>
    <w:p>
      <w:pPr>
        <w:pStyle w:val="Heading1"/>
      </w:pPr>
      <w:r>
        <w:t>3. Top risks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ID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Inherent</w:t>
            </w:r>
          </w:p>
        </w:tc>
      </w:tr>
      <w:tr>
        <w:tc>
          <w:tcPr>
            <w:tcW w:type="dxa" w:w="1728"/>
          </w:tcPr>
          <w:p>
            <w:r>
              <w:t>R-01</w:t>
            </w:r>
          </w:p>
        </w:tc>
        <w:tc>
          <w:tcPr>
            <w:tcW w:type="dxa" w:w="1728"/>
          </w:tcPr>
          <w:p>
            <w:r>
              <w:t>Unfair or discriminatory credit outcomes</w:t>
            </w:r>
          </w:p>
        </w:tc>
        <w:tc>
          <w:tcPr>
            <w:tcW w:type="dxa" w:w="1728"/>
          </w:tcPr>
          <w:p>
            <w:r>
              <w:t>Possible</w:t>
            </w:r>
          </w:p>
        </w:tc>
        <w:tc>
          <w:tcPr>
            <w:tcW w:type="dxa" w:w="1728"/>
          </w:tcPr>
          <w:p>
            <w:r>
              <w:t>Major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  <w:tr>
        <w:tc>
          <w:tcPr>
            <w:tcW w:type="dxa" w:w="1728"/>
          </w:tcPr>
          <w:p>
            <w:r>
              <w:t>R-02</w:t>
            </w:r>
          </w:p>
        </w:tc>
        <w:tc>
          <w:tcPr>
            <w:tcW w:type="dxa" w:w="1728"/>
          </w:tcPr>
          <w:p>
            <w:r>
              <w:t>Unsuitable loans approved</w:t>
            </w:r>
          </w:p>
        </w:tc>
        <w:tc>
          <w:tcPr>
            <w:tcW w:type="dxa" w:w="1728"/>
          </w:tcPr>
          <w:p>
            <w:r>
              <w:t>Possible</w:t>
            </w:r>
          </w:p>
        </w:tc>
        <w:tc>
          <w:tcPr>
            <w:tcW w:type="dxa" w:w="1728"/>
          </w:tcPr>
          <w:p>
            <w:r>
              <w:t>Major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  <w:tr>
        <w:tc>
          <w:tcPr>
            <w:tcW w:type="dxa" w:w="1728"/>
          </w:tcPr>
          <w:p>
            <w:r>
              <w:t>R-03</w:t>
            </w:r>
          </w:p>
        </w:tc>
        <w:tc>
          <w:tcPr>
            <w:tcW w:type="dxa" w:w="1728"/>
          </w:tcPr>
          <w:p>
            <w:r>
              <w:t>Automated decisions without required transparency</w:t>
            </w:r>
          </w:p>
        </w:tc>
        <w:tc>
          <w:tcPr>
            <w:tcW w:type="dxa" w:w="1728"/>
          </w:tcPr>
          <w:p>
            <w:r>
              <w:t>Likely</w:t>
            </w:r>
          </w:p>
        </w:tc>
        <w:tc>
          <w:tcPr>
            <w:tcW w:type="dxa" w:w="1728"/>
          </w:tcPr>
          <w:p>
            <w:r>
              <w:t>Moderate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  <w:tr>
        <w:tc>
          <w:tcPr>
            <w:tcW w:type="dxa" w:w="1728"/>
          </w:tcPr>
          <w:p>
            <w:r>
              <w:t>R-04</w:t>
            </w:r>
          </w:p>
        </w:tc>
        <w:tc>
          <w:tcPr>
            <w:tcW w:type="dxa" w:w="1728"/>
          </w:tcPr>
          <w:p>
            <w:r>
              <w:t>Foundation model change or outage</w:t>
            </w:r>
          </w:p>
        </w:tc>
        <w:tc>
          <w:tcPr>
            <w:tcW w:type="dxa" w:w="1728"/>
          </w:tcPr>
          <w:p>
            <w:r>
              <w:t>Possible</w:t>
            </w:r>
          </w:p>
        </w:tc>
        <w:tc>
          <w:tcPr>
            <w:tcW w:type="dxa" w:w="1728"/>
          </w:tcPr>
          <w:p>
            <w:r>
              <w:t>Moderate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</w:tr>
      <w:tr>
        <w:tc>
          <w:tcPr>
            <w:tcW w:type="dxa" w:w="1728"/>
          </w:tcPr>
          <w:p>
            <w:r>
              <w:t>R-05</w:t>
            </w:r>
          </w:p>
        </w:tc>
        <w:tc>
          <w:tcPr>
            <w:tcW w:type="dxa" w:w="1728"/>
          </w:tcPr>
          <w:p>
            <w:r>
              <w:t>Drift after deployment</w:t>
            </w:r>
          </w:p>
        </w:tc>
        <w:tc>
          <w:tcPr>
            <w:tcW w:type="dxa" w:w="1728"/>
          </w:tcPr>
          <w:p>
            <w:r>
              <w:t>Likely</w:t>
            </w:r>
          </w:p>
        </w:tc>
        <w:tc>
          <w:tcPr>
            <w:tcW w:type="dxa" w:w="1728"/>
          </w:tcPr>
          <w:p>
            <w:r>
              <w:t>Moderate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</w:tbl>
    <w:p>
      <w:pPr>
        <w:pStyle w:val="Heading1"/>
      </w:pPr>
      <w:r>
        <w:t>4. Security threats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ID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Threat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Rating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Reference</w:t>
            </w:r>
          </w:p>
        </w:tc>
      </w:tr>
      <w:tr>
        <w:tc>
          <w:tcPr>
            <w:tcW w:type="dxa" w:w="2160"/>
          </w:tcPr>
          <w:p>
            <w:r>
              <w:t>T-01</w:t>
            </w:r>
          </w:p>
        </w:tc>
        <w:tc>
          <w:tcPr>
            <w:tcW w:type="dxa" w:w="2160"/>
          </w:tcPr>
          <w:p>
            <w:r>
              <w:t>Adversarial manipulation of application data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MITRE ATLAS AML.T0043</w:t>
            </w:r>
          </w:p>
        </w:tc>
      </w:tr>
      <w:tr>
        <w:tc>
          <w:tcPr>
            <w:tcW w:type="dxa" w:w="2160"/>
          </w:tcPr>
          <w:p>
            <w:r>
              <w:t>T-02</w:t>
            </w:r>
          </w:p>
        </w:tc>
        <w:tc>
          <w:tcPr>
            <w:tcW w:type="dxa" w:w="2160"/>
          </w:tcPr>
          <w:p>
            <w:r>
              <w:t>Credential compromise of the model API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MITRE ATT&amp;CK T1552</w:t>
            </w:r>
          </w:p>
        </w:tc>
      </w:tr>
    </w:tbl>
    <w:p>
      <w:pPr>
        <w:pStyle w:val="Heading1"/>
      </w:pPr>
      <w:r>
        <w:t>5. Regulatory obligations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Regulation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Jurisdiction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Applicability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Why relevant</w:t>
            </w:r>
          </w:p>
        </w:tc>
      </w:tr>
      <w:tr>
        <w:tc>
          <w:tcPr>
            <w:tcW w:type="dxa" w:w="2160"/>
          </w:tcPr>
          <w:p>
            <w:r>
              <w:t>National Consumer Credit Protection Act 2009 (responsible lending)</w:t>
            </w:r>
          </w:p>
        </w:tc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applicable</w:t>
            </w:r>
          </w:p>
        </w:tc>
        <w:tc>
          <w:tcPr>
            <w:tcW w:type="dxa" w:w="2160"/>
          </w:tcPr>
          <w:p>
            <w:r>
              <w:t>Personal loans to consumers are regulated credit.</w:t>
            </w:r>
          </w:p>
        </w:tc>
      </w:tr>
      <w:tr>
        <w:tc>
          <w:tcPr>
            <w:tcW w:type="dxa" w:w="2160"/>
          </w:tcPr>
          <w:p>
            <w:r>
              <w:t>Privacy Act 1988 (APPs, including APP 1.7 to 1.9)</w:t>
            </w:r>
          </w:p>
        </w:tc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applicable</w:t>
            </w:r>
          </w:p>
        </w:tc>
        <w:tc>
          <w:tcPr>
            <w:tcW w:type="dxa" w:w="2160"/>
          </w:tcPr>
          <w:p>
            <w:r>
              <w:t>Personal and credit information drives automated decisions.</w:t>
            </w:r>
          </w:p>
        </w:tc>
      </w:tr>
      <w:tr>
        <w:tc>
          <w:tcPr>
            <w:tcW w:type="dxa" w:w="2160"/>
          </w:tcPr>
          <w:p>
            <w:r>
              <w:t>APRA CPS 230 Operational Risk Management</w:t>
            </w:r>
          </w:p>
        </w:tc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applicable</w:t>
            </w:r>
          </w:p>
        </w:tc>
        <w:tc>
          <w:tcPr>
            <w:tcW w:type="dxa" w:w="2160"/>
          </w:tcPr>
          <w:p>
            <w:r>
              <w:t>The bank is APRA-regulated and relies on a third-party model provider.</w:t>
            </w:r>
          </w:p>
        </w:tc>
      </w:tr>
      <w:tr>
        <w:tc>
          <w:tcPr>
            <w:tcW w:type="dxa" w:w="2160"/>
          </w:tcPr>
          <w:p>
            <w:r>
              <w:t>Anti-discrimination legislation (Commonwealth and state)</w:t>
            </w:r>
          </w:p>
        </w:tc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potentially_applicable</w:t>
            </w:r>
          </w:p>
        </w:tc>
        <w:tc>
          <w:tcPr>
            <w:tcW w:type="dxa" w:w="2160"/>
          </w:tcPr>
          <w:p>
            <w:r>
              <w:t>Credit decisions must not discriminate on protected attributes.</w:t>
            </w:r>
          </w:p>
        </w:tc>
      </w:tr>
    </w:tbl>
    <w:p>
      <w:r>
        <w:t>Regulatory statements are drafted by a language model, grounded in retrieved sources where Secure-RAG is connected. Verify against the current legislation before reliance.</w:t>
      </w:r>
    </w:p>
    <w:p>
      <w:pPr>
        <w:pStyle w:val="Heading1"/>
      </w:pPr>
      <w:r>
        <w:t>6. Controls and residual risk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ID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Effectiveness</w:t>
            </w:r>
          </w:p>
        </w:tc>
      </w:tr>
      <w:tr>
        <w:tc>
          <w:tcPr>
            <w:tcW w:type="dxa" w:w="2160"/>
          </w:tcPr>
          <w:p>
            <w:r>
              <w:t>C-01</w:t>
            </w:r>
          </w:p>
        </w:tc>
        <w:tc>
          <w:tcPr>
            <w:tcW w:type="dxa" w:w="2160"/>
          </w:tcPr>
          <w:p>
            <w:r>
              <w:t>Human review of declines and loans above AUD 30,000</w:t>
            </w:r>
          </w:p>
        </w:tc>
        <w:tc>
          <w:tcPr>
            <w:tcW w:type="dxa" w:w="2160"/>
          </w:tcPr>
          <w:p>
            <w:r>
              <w:t>Immediate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</w:tr>
      <w:tr>
        <w:tc>
          <w:tcPr>
            <w:tcW w:type="dxa" w:w="2160"/>
          </w:tcPr>
          <w:p>
            <w:r>
              <w:t>C-02</w:t>
            </w:r>
          </w:p>
        </w:tc>
        <w:tc>
          <w:tcPr>
            <w:tcW w:type="dxa" w:w="2160"/>
          </w:tcPr>
          <w:p>
            <w:r>
              <w:t>Fairness and affordability testing before release and monthly</w:t>
            </w:r>
          </w:p>
        </w:tc>
        <w:tc>
          <w:tcPr>
            <w:tcW w:type="dxa" w:w="2160"/>
          </w:tcPr>
          <w:p>
            <w:r>
              <w:t>Immediate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C-03</w:t>
            </w:r>
          </w:p>
        </w:tc>
        <w:tc>
          <w:tcPr>
            <w:tcW w:type="dxa" w:w="2160"/>
          </w:tcPr>
          <w:p>
            <w:r>
              <w:t>Automated-decision transparency</w:t>
            </w:r>
          </w:p>
        </w:tc>
        <w:tc>
          <w:tcPr>
            <w:tcW w:type="dxa" w:w="2160"/>
          </w:tcPr>
          <w:p>
            <w:r>
              <w:t>Near-term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</w:tr>
      <w:tr>
        <w:tc>
          <w:tcPr>
            <w:tcW w:type="dxa" w:w="2160"/>
          </w:tcPr>
          <w:p>
            <w:r>
              <w:t>C-04</w:t>
            </w:r>
          </w:p>
        </w:tc>
        <w:tc>
          <w:tcPr>
            <w:tcW w:type="dxa" w:w="2160"/>
          </w:tcPr>
          <w:p>
            <w:r>
              <w:t>Model change control and fallback</w:t>
            </w:r>
          </w:p>
        </w:tc>
        <w:tc>
          <w:tcPr>
            <w:tcW w:type="dxa" w:w="2160"/>
          </w:tcPr>
          <w:p>
            <w:r>
              <w:t>Near-term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</w:tbl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Inherent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Controls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Residual</w:t>
            </w:r>
          </w:p>
        </w:tc>
      </w:tr>
      <w:tr>
        <w:tc>
          <w:tcPr>
            <w:tcW w:type="dxa" w:w="2160"/>
          </w:tcPr>
          <w:p>
            <w:r>
              <w:t>Unfair or discriminatory credit outcomes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C-01, C-02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Unsuitable loans approved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C-01, C-02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  <w:tr>
        <w:tc>
          <w:tcPr>
            <w:tcW w:type="dxa" w:w="2160"/>
          </w:tcPr>
          <w:p>
            <w:r>
              <w:t>Automated decisions without required transparency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C-03</w:t>
            </w:r>
          </w:p>
        </w:tc>
        <w:tc>
          <w:tcPr>
            <w:tcW w:type="dxa" w:w="2160"/>
          </w:tcPr>
          <w:p>
            <w:r>
              <w:t>Low</w:t>
            </w:r>
          </w:p>
        </w:tc>
      </w:tr>
      <w:tr>
        <w:tc>
          <w:tcPr>
            <w:tcW w:type="dxa" w:w="2160"/>
          </w:tcPr>
          <w:p>
            <w:r>
              <w:t>Foundation model change or outage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C-04</w:t>
            </w:r>
          </w:p>
        </w:tc>
        <w:tc>
          <w:tcPr>
            <w:tcW w:type="dxa" w:w="2160"/>
          </w:tcPr>
          <w:p>
            <w:r>
              <w:t>Low</w:t>
            </w:r>
          </w:p>
        </w:tc>
      </w:tr>
      <w:tr>
        <w:tc>
          <w:tcPr>
            <w:tcW w:type="dxa" w:w="2160"/>
          </w:tcPr>
          <w:p>
            <w:r>
              <w:t>Drift after deployment</w:t>
            </w:r>
          </w:p>
        </w:tc>
        <w:tc>
          <w:tcPr>
            <w:tcW w:type="dxa" w:w="2160"/>
          </w:tcPr>
          <w:p>
            <w:r>
              <w:t>High</w:t>
            </w:r>
          </w:p>
        </w:tc>
        <w:tc>
          <w:tcPr>
            <w:tcW w:type="dxa" w:w="2160"/>
          </w:tcPr>
          <w:p>
            <w:r>
              <w:t>C-02, C-04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</w:tr>
    </w:tbl>
    <w:p>
      <w:pPr>
        <w:pStyle w:val="Heading1"/>
      </w:pPr>
      <w:r>
        <w:t>7. Remediation plan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ID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Horizon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Priority</w:t>
            </w:r>
          </w:p>
        </w:tc>
      </w:tr>
      <w:tr>
        <w:tc>
          <w:tcPr>
            <w:tcW w:type="dxa" w:w="1728"/>
          </w:tcPr>
          <w:p>
            <w:r>
              <w:t>A-01</w:t>
            </w:r>
          </w:p>
        </w:tc>
        <w:tc>
          <w:tcPr>
            <w:tcW w:type="dxa" w:w="1728"/>
          </w:tcPr>
          <w:p>
            <w:r>
              <w:t>0-30 days</w:t>
            </w:r>
          </w:p>
        </w:tc>
        <w:tc>
          <w:tcPr>
            <w:tcW w:type="dxa" w:w="1728"/>
          </w:tcPr>
          <w:p>
            <w:r>
              <w:t>Design the human review step and reason codes</w:t>
            </w:r>
          </w:p>
        </w:tc>
        <w:tc>
          <w:tcPr>
            <w:tcW w:type="dxa" w:w="1728"/>
          </w:tcPr>
          <w:p>
            <w:r>
              <w:t>Head of Credit</w:t>
            </w:r>
          </w:p>
        </w:tc>
        <w:tc>
          <w:tcPr>
            <w:tcW w:type="dxa" w:w="1728"/>
          </w:tcPr>
          <w:p>
            <w:r>
              <w:t>Critical</w:t>
            </w:r>
          </w:p>
        </w:tc>
      </w:tr>
      <w:tr>
        <w:tc>
          <w:tcPr>
            <w:tcW w:type="dxa" w:w="1728"/>
          </w:tcPr>
          <w:p>
            <w:r>
              <w:t>A-02</w:t>
            </w:r>
          </w:p>
        </w:tc>
        <w:tc>
          <w:tcPr>
            <w:tcW w:type="dxa" w:w="1728"/>
          </w:tcPr>
          <w:p>
            <w:r>
              <w:t>30-90 days</w:t>
            </w:r>
          </w:p>
        </w:tc>
        <w:tc>
          <w:tcPr>
            <w:tcW w:type="dxa" w:w="1728"/>
          </w:tcPr>
          <w:p>
            <w:r>
              <w:t>Run fairness and affordability validation</w:t>
            </w:r>
          </w:p>
        </w:tc>
        <w:tc>
          <w:tcPr>
            <w:tcW w:type="dxa" w:w="1728"/>
          </w:tcPr>
          <w:p>
            <w:r>
              <w:t>Model Risk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  <w:tr>
        <w:tc>
          <w:tcPr>
            <w:tcW w:type="dxa" w:w="1728"/>
          </w:tcPr>
          <w:p>
            <w:r>
              <w:t>A-03</w:t>
            </w:r>
          </w:p>
        </w:tc>
        <w:tc>
          <w:tcPr>
            <w:tcW w:type="dxa" w:w="1728"/>
          </w:tcPr>
          <w:p>
            <w:r>
              <w:t>30-90 days</w:t>
            </w:r>
          </w:p>
        </w:tc>
        <w:tc>
          <w:tcPr>
            <w:tcW w:type="dxa" w:w="1728"/>
          </w:tcPr>
          <w:p>
            <w:r>
              <w:t>Update privacy policy and notices</w:t>
            </w:r>
          </w:p>
        </w:tc>
        <w:tc>
          <w:tcPr>
            <w:tcW w:type="dxa" w:w="1728"/>
          </w:tcPr>
          <w:p>
            <w:r>
              <w:t>Privacy Officer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</w:tr>
      <w:tr>
        <w:tc>
          <w:tcPr>
            <w:tcW w:type="dxa" w:w="1728"/>
          </w:tcPr>
          <w:p>
            <w:r>
              <w:t>A-04</w:t>
            </w:r>
          </w:p>
        </w:tc>
        <w:tc>
          <w:tcPr>
            <w:tcW w:type="dxa" w:w="1728"/>
          </w:tcPr>
          <w:p>
            <w:r>
              <w:t>90+ days</w:t>
            </w:r>
          </w:p>
        </w:tc>
        <w:tc>
          <w:tcPr>
            <w:tcW w:type="dxa" w:w="1728"/>
          </w:tcPr>
          <w:p>
            <w:r>
              <w:t>Set up monthly drift and fairness monitoring</w:t>
            </w:r>
          </w:p>
        </w:tc>
        <w:tc>
          <w:tcPr>
            <w:tcW w:type="dxa" w:w="1728"/>
          </w:tcPr>
          <w:p>
            <w:r>
              <w:t>Model Risk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</w:tr>
    </w:tbl>
    <w:p>
      <w:pPr>
        <w:pStyle w:val="Heading1"/>
      </w:pPr>
      <w:r>
        <w:t>8. Framework mapping (suggested)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Control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ISO/IEC 42001 Annex 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NIST AI RMF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OWASP LLM 2025</w:t>
            </w:r>
          </w:p>
        </w:tc>
      </w:tr>
      <w:tr>
        <w:tc>
          <w:tcPr>
            <w:tcW w:type="dxa" w:w="2160"/>
          </w:tcPr>
          <w:p>
            <w:r>
              <w:t>C-01 Human review of declines and loans above AUD 30,000</w:t>
            </w:r>
          </w:p>
        </w:tc>
        <w:tc>
          <w:tcPr>
            <w:tcW w:type="dxa" w:w="2160"/>
          </w:tcPr>
          <w:p>
            <w:r>
              <w:t>A.9 Use of AI systems</w:t>
            </w:r>
          </w:p>
        </w:tc>
        <w:tc>
          <w:tcPr>
            <w:tcW w:type="dxa" w:w="2160"/>
          </w:tcPr>
          <w:p>
            <w:r>
              <w:t>MANAGE</w:t>
            </w:r>
          </w:p>
        </w:tc>
        <w:tc>
          <w:tcPr>
            <w:tcW w:type="dxa" w:w="2160"/>
          </w:tcPr>
          <w:p>
            <w:r>
              <w:t>LLM06 Excessive Agency</w:t>
            </w:r>
          </w:p>
        </w:tc>
      </w:tr>
      <w:tr>
        <w:tc>
          <w:tcPr>
            <w:tcW w:type="dxa" w:w="2160"/>
          </w:tcPr>
          <w:p>
            <w:r>
              <w:t>C-02 Fairness and affordability testing before release and monthly</w:t>
            </w:r>
          </w:p>
        </w:tc>
        <w:tc>
          <w:tcPr>
            <w:tcW w:type="dxa" w:w="2160"/>
          </w:tcPr>
          <w:p>
            <w:r>
              <w:t>A.5 Assessing impacts of AI systems; A.6 AI system life cycle</w:t>
            </w:r>
          </w:p>
        </w:tc>
        <w:tc>
          <w:tcPr>
            <w:tcW w:type="dxa" w:w="2160"/>
          </w:tcPr>
          <w:p>
            <w:r>
              <w:t>MEASURE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C-03 Automated-decision transparency</w:t>
            </w:r>
          </w:p>
        </w:tc>
        <w:tc>
          <w:tcPr>
            <w:tcW w:type="dxa" w:w="2160"/>
          </w:tcPr>
          <w:p>
            <w:r>
              <w:t>A.2 Policies related to AI; A.8 Information for interested parties of AI systems</w:t>
            </w:r>
          </w:p>
        </w:tc>
        <w:tc>
          <w:tcPr>
            <w:tcW w:type="dxa" w:w="2160"/>
          </w:tcPr>
          <w:p>
            <w:r>
              <w:t>GOVERN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C-04 Model change control and fallback</w:t>
            </w:r>
          </w:p>
        </w:tc>
        <w:tc>
          <w:tcPr>
            <w:tcW w:type="dxa" w:w="2160"/>
          </w:tcPr>
          <w:p>
            <w:r>
              <w:t>A.6 AI system life cycle</w:t>
            </w:r>
          </w:p>
        </w:tc>
        <w:tc>
          <w:tcPr>
            <w:tcW w:type="dxa" w:w="2160"/>
          </w:tcPr>
          <w:p>
            <w:r>
              <w:t>MEASURE</w:t>
            </w:r>
          </w:p>
        </w:tc>
        <w:tc>
          <w:tcPr>
            <w:tcW w:type="dxa" w:w="2160"/>
          </w:tcPr>
          <w:p>
            <w:r/>
          </w:p>
        </w:tc>
      </w:tr>
    </w:tbl>
    <w:p>
      <w:r>
        <w:t>Suggested by keyword rules at heading level; verify each mapping against the licensed standard before using it in a statement of applicability or audit.</w:t>
      </w:r>
    </w:p>
    <w:p>
      <w:pPr>
        <w:pStyle w:val="Heading1"/>
      </w:pPr>
      <w:r>
        <w:t>9. Audit record</w:t>
      </w:r>
    </w:p>
    <w:p>
      <w:r>
        <w:t>Audit trail: 1 events, chain intact. Chain head SHA-256 at the time of this pack: c1bb63f77f99cbea61602a165e733e1a4ef52c144efc696c66b0227582df5eee. Keep this value: a later change to any earlier event would no longer reproduce it.</w:t>
      </w:r>
    </w:p>
    <w:p>
      <w:pPr>
        <w:pStyle w:val="Heading1"/>
      </w:pPr>
      <w:r>
        <w:t>10. Limitations</w:t>
      </w:r>
    </w:p>
    <w:p>
      <w:r>
        <w:t>Prepared with AI assistance as decision support, not legal or regulatory advice. Ratings, obligations and controls must be reviewed by qualified people. The analysis reflects the scenario as described.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Generated by Agentic Risk Analyst v3.2.1 on 2026-10-31 11:54:45 UTC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